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14A" w:rsidRDefault="00BC014A" w:rsidP="00674EE3">
      <w:pPr>
        <w:pStyle w:val="Naslov1"/>
        <w:shd w:val="clear" w:color="auto" w:fill="FFFFFF"/>
        <w:spacing w:before="0" w:line="240" w:lineRule="auto"/>
        <w:jc w:val="both"/>
        <w:rPr>
          <w:rFonts w:ascii="Times New Roman" w:hAnsi="Times New Roman" w:cs="Times New Roman"/>
          <w:b w:val="0"/>
          <w:color w:val="auto"/>
          <w:sz w:val="24"/>
          <w:szCs w:val="24"/>
        </w:rPr>
      </w:pPr>
      <w:r>
        <w:rPr>
          <w:rFonts w:ascii="Times New Roman" w:eastAsia="Times New Roman" w:hAnsi="Times New Roman" w:cs="Times New Roman"/>
          <w:b w:val="0"/>
          <w:color w:val="auto"/>
          <w:kern w:val="36"/>
          <w:sz w:val="24"/>
          <w:szCs w:val="24"/>
          <w:lang w:eastAsia="hr-HR"/>
        </w:rPr>
        <w:t xml:space="preserve">Na </w:t>
      </w:r>
      <w:r w:rsidR="00674EE3" w:rsidRPr="00C77F91">
        <w:rPr>
          <w:rFonts w:ascii="Times New Roman" w:eastAsia="Times New Roman" w:hAnsi="Times New Roman" w:cs="Times New Roman"/>
          <w:b w:val="0"/>
          <w:color w:val="auto"/>
          <w:kern w:val="36"/>
          <w:sz w:val="24"/>
          <w:szCs w:val="24"/>
          <w:lang w:eastAsia="hr-HR"/>
        </w:rPr>
        <w:t>Sektorsk</w:t>
      </w:r>
      <w:r>
        <w:rPr>
          <w:rFonts w:ascii="Times New Roman" w:eastAsia="Times New Roman" w:hAnsi="Times New Roman" w:cs="Times New Roman"/>
          <w:b w:val="0"/>
          <w:color w:val="auto"/>
          <w:kern w:val="36"/>
          <w:sz w:val="24"/>
          <w:szCs w:val="24"/>
          <w:lang w:eastAsia="hr-HR"/>
        </w:rPr>
        <w:t>u</w:t>
      </w:r>
      <w:r w:rsidR="00674EE3" w:rsidRPr="00C77F91">
        <w:rPr>
          <w:rFonts w:ascii="Times New Roman" w:eastAsia="Times New Roman" w:hAnsi="Times New Roman" w:cs="Times New Roman"/>
          <w:b w:val="0"/>
          <w:color w:val="auto"/>
          <w:kern w:val="36"/>
          <w:sz w:val="24"/>
          <w:szCs w:val="24"/>
          <w:lang w:eastAsia="hr-HR"/>
        </w:rPr>
        <w:t xml:space="preserve"> analizu za utvrđivanje prioritetnih područja financiranja programa i projekata od interesa za opće dobro koje provode udruge i druge organizacije civilnoga društva iz javnih izvora u 2023.</w:t>
      </w:r>
      <w:r>
        <w:rPr>
          <w:rFonts w:ascii="Times New Roman" w:eastAsia="Times New Roman" w:hAnsi="Times New Roman" w:cs="Times New Roman"/>
          <w:b w:val="0"/>
          <w:color w:val="auto"/>
          <w:kern w:val="36"/>
          <w:sz w:val="24"/>
          <w:szCs w:val="24"/>
          <w:lang w:eastAsia="hr-HR"/>
        </w:rPr>
        <w:t xml:space="preserve"> godini Uprave za zatvorski sustav i probaciju Ministarstva pravosuđa i uprave Republike Hrvatske, </w:t>
      </w:r>
      <w:r w:rsidR="00F01D02">
        <w:rPr>
          <w:rFonts w:ascii="Times New Roman" w:hAnsi="Times New Roman" w:cs="Times New Roman"/>
          <w:b w:val="0"/>
          <w:color w:val="auto"/>
          <w:sz w:val="24"/>
          <w:szCs w:val="24"/>
        </w:rPr>
        <w:t>objavljenoj radi</w:t>
      </w:r>
      <w:bookmarkStart w:id="0" w:name="_GoBack"/>
      <w:bookmarkEnd w:id="0"/>
      <w:r>
        <w:rPr>
          <w:rFonts w:ascii="Times New Roman" w:hAnsi="Times New Roman" w:cs="Times New Roman"/>
          <w:b w:val="0"/>
          <w:color w:val="auto"/>
          <w:sz w:val="24"/>
          <w:szCs w:val="24"/>
        </w:rPr>
        <w:t xml:space="preserve"> javnog savjetovanja </w:t>
      </w:r>
      <w:r w:rsidR="00674EE3" w:rsidRPr="00C77F91">
        <w:rPr>
          <w:rFonts w:ascii="Times New Roman" w:hAnsi="Times New Roman" w:cs="Times New Roman"/>
          <w:b w:val="0"/>
          <w:color w:val="auto"/>
          <w:sz w:val="24"/>
          <w:szCs w:val="24"/>
        </w:rPr>
        <w:t>na mrežnim stranicama</w:t>
      </w:r>
      <w:r>
        <w:rPr>
          <w:rFonts w:ascii="Times New Roman" w:hAnsi="Times New Roman" w:cs="Times New Roman"/>
          <w:b w:val="0"/>
          <w:color w:val="auto"/>
          <w:sz w:val="24"/>
          <w:szCs w:val="24"/>
        </w:rPr>
        <w:t xml:space="preserve"> ovog Ministarstva zaprimljeni su niži komentar/prijedlozi organizacija civilnog društva te su u nastavku navedeni razlozi neprihvaćanja istih:</w:t>
      </w:r>
    </w:p>
    <w:p w:rsidR="00CE73AB" w:rsidRPr="00CE73AB" w:rsidRDefault="00CE73AB" w:rsidP="00CE73AB"/>
    <w:tbl>
      <w:tblPr>
        <w:tblW w:w="14034" w:type="dxa"/>
        <w:tblInd w:w="108" w:type="dxa"/>
        <w:tblLayout w:type="fixed"/>
        <w:tblCellMar>
          <w:left w:w="0" w:type="dxa"/>
          <w:right w:w="0" w:type="dxa"/>
        </w:tblCellMar>
        <w:tblLook w:val="04A0" w:firstRow="1" w:lastRow="0" w:firstColumn="1" w:lastColumn="0" w:noHBand="0" w:noVBand="1"/>
      </w:tblPr>
      <w:tblGrid>
        <w:gridCol w:w="6272"/>
        <w:gridCol w:w="1808"/>
        <w:gridCol w:w="5954"/>
      </w:tblGrid>
      <w:tr w:rsidR="00F01D02" w:rsidRPr="00C77F91" w:rsidTr="00F01D02">
        <w:trPr>
          <w:trHeight w:val="558"/>
        </w:trPr>
        <w:tc>
          <w:tcPr>
            <w:tcW w:w="6272" w:type="dxa"/>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rsidR="00F01D02" w:rsidRPr="00C77F91" w:rsidRDefault="00F01D02">
            <w:pPr>
              <w:ind w:left="426"/>
              <w:jc w:val="both"/>
              <w:rPr>
                <w:rFonts w:ascii="Calibri" w:hAnsi="Calibri" w:cs="Calibri"/>
                <w:b/>
                <w:bCs/>
                <w:color w:val="FFFFFF"/>
              </w:rPr>
            </w:pPr>
            <w:r w:rsidRPr="00C77F91">
              <w:rPr>
                <w:b/>
                <w:bCs/>
                <w:color w:val="FFFFFF"/>
              </w:rPr>
              <w:t>Komentar/prijedlog organizacije civilnog društva:</w:t>
            </w:r>
          </w:p>
        </w:tc>
        <w:tc>
          <w:tcPr>
            <w:tcW w:w="1808" w:type="dxa"/>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vAlign w:val="center"/>
            <w:hideMark/>
          </w:tcPr>
          <w:p w:rsidR="00F01D02" w:rsidRPr="00C77F91" w:rsidRDefault="00F01D02" w:rsidP="00376DB2">
            <w:pPr>
              <w:jc w:val="center"/>
              <w:rPr>
                <w:rFonts w:ascii="Calibri" w:hAnsi="Calibri" w:cs="Calibri"/>
                <w:b/>
                <w:bCs/>
                <w:color w:val="FFFFFF"/>
              </w:rPr>
            </w:pPr>
            <w:r w:rsidRPr="00C77F91">
              <w:rPr>
                <w:b/>
                <w:bCs/>
                <w:color w:val="FFFFFF"/>
              </w:rPr>
              <w:t>Prihvaćeni / djelomično prihvaćeni komentari</w:t>
            </w:r>
          </w:p>
        </w:tc>
        <w:tc>
          <w:tcPr>
            <w:tcW w:w="5954" w:type="dxa"/>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vAlign w:val="center"/>
            <w:hideMark/>
          </w:tcPr>
          <w:p w:rsidR="00F01D02" w:rsidRPr="00C77F91" w:rsidRDefault="00F01D02">
            <w:pPr>
              <w:ind w:left="426"/>
              <w:jc w:val="center"/>
              <w:rPr>
                <w:rFonts w:ascii="Calibri" w:hAnsi="Calibri" w:cs="Calibri"/>
                <w:b/>
                <w:bCs/>
                <w:color w:val="FFFFFF"/>
              </w:rPr>
            </w:pPr>
            <w:r w:rsidRPr="00C77F91">
              <w:rPr>
                <w:b/>
                <w:bCs/>
                <w:color w:val="FFFFFF"/>
              </w:rPr>
              <w:t>Neprihvaćeni komentari i razlozi neprihvaćanja</w:t>
            </w:r>
          </w:p>
        </w:tc>
      </w:tr>
      <w:tr w:rsidR="00F01D02" w:rsidRPr="00C77F91" w:rsidTr="00F01D02">
        <w:trPr>
          <w:trHeight w:val="1136"/>
        </w:trPr>
        <w:tc>
          <w:tcPr>
            <w:tcW w:w="627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F01D02" w:rsidRPr="00C77F91" w:rsidRDefault="00F01D02" w:rsidP="00F01D02">
            <w:pPr>
              <w:spacing w:after="0" w:line="240" w:lineRule="auto"/>
              <w:jc w:val="both"/>
              <w:rPr>
                <w:rFonts w:ascii="Times New Roman" w:hAnsi="Times New Roman" w:cs="Times New Roman"/>
              </w:rPr>
            </w:pPr>
            <w:r w:rsidRPr="00C77F91">
              <w:rPr>
                <w:rFonts w:ascii="Times New Roman" w:hAnsi="Times New Roman" w:cs="Times New Roman"/>
              </w:rPr>
              <w:t>U objavljenoj Sektorskoj analizi posebno smo se usmjerili na područje povećanja kapaciteta službenika zatvorskog sustava i probacije za provođenje pojedinačnog programa postupanja/izvršavanja kazne zatvora budući da je ono povezano s glavnim djelatnostima naše udruge. Ocjenjujemo da ste potrebe vezane za to prioritetno područje dobro identificirali, kao i da ste za odgovaranje na njih odabrali prikladne strategije.</w:t>
            </w:r>
            <w:r w:rsidRPr="00C77F91">
              <w:rPr>
                <w:rFonts w:ascii="Times New Roman" w:hAnsi="Times New Roman" w:cs="Times New Roman"/>
              </w:rPr>
              <w:br/>
              <w:t>Osim toga, primjećujemo da se u objavljenoj analizi niste usmjerili na evaluaciju posebnih programa tretmana, a koja je bila jedno od prioritetnih područja na posljednjem natječaju za projekte udruga. Evaluacija procesa i ishoda programa koji se temelje na kognitivno-bihevioralnom pristupu (a takva je većina posebnih programa tretmana koji se provode sa zatvorenicima) među temeljnim je obilježjima kognitivno-bihevioralnih tretmana, zbog čega smatramo da bi u sljedećem natječaju bilo važno predvidjeti i evaluaciju programa koji nisu bili obuhvaćeni projektima prihvaćenima na posljednjem natječaju.</w:t>
            </w:r>
          </w:p>
        </w:tc>
        <w:tc>
          <w:tcPr>
            <w:tcW w:w="1808" w:type="dxa"/>
            <w:tcBorders>
              <w:top w:val="nil"/>
              <w:left w:val="nil"/>
              <w:bottom w:val="single" w:sz="8" w:space="0" w:color="auto"/>
              <w:right w:val="single" w:sz="8" w:space="0" w:color="auto"/>
            </w:tcBorders>
            <w:tcMar>
              <w:top w:w="0" w:type="dxa"/>
              <w:left w:w="108" w:type="dxa"/>
              <w:bottom w:w="0" w:type="dxa"/>
              <w:right w:w="108" w:type="dxa"/>
            </w:tcMar>
          </w:tcPr>
          <w:p w:rsidR="00F01D02" w:rsidRPr="00C77F91" w:rsidRDefault="00F01D02" w:rsidP="00F01D02">
            <w:pPr>
              <w:spacing w:line="240" w:lineRule="auto"/>
              <w:ind w:left="426"/>
              <w:jc w:val="both"/>
              <w:rPr>
                <w:rFonts w:ascii="Times New Roman" w:hAnsi="Times New Roman" w:cs="Times New Roman"/>
                <w:color w:val="000000"/>
              </w:rPr>
            </w:pPr>
          </w:p>
          <w:p w:rsidR="00F01D02" w:rsidRPr="00C77F91" w:rsidRDefault="00F01D02" w:rsidP="00F01D02">
            <w:pPr>
              <w:spacing w:line="240" w:lineRule="auto"/>
              <w:ind w:left="426"/>
              <w:jc w:val="both"/>
              <w:rPr>
                <w:rFonts w:ascii="Times New Roman" w:hAnsi="Times New Roman" w:cs="Times New Roman"/>
                <w:color w:val="000000"/>
              </w:rPr>
            </w:pP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rsidR="00F01D02" w:rsidRPr="00C77F91" w:rsidRDefault="00F01D02" w:rsidP="00F01D02">
            <w:pPr>
              <w:spacing w:after="0" w:line="240" w:lineRule="auto"/>
              <w:ind w:left="34"/>
              <w:jc w:val="both"/>
              <w:rPr>
                <w:rFonts w:ascii="Times New Roman" w:hAnsi="Times New Roman" w:cs="Times New Roman"/>
                <w:color w:val="000000"/>
              </w:rPr>
            </w:pPr>
            <w:r w:rsidRPr="00C77F91">
              <w:rPr>
                <w:rFonts w:ascii="Times New Roman" w:hAnsi="Times New Roman" w:cs="Times New Roman"/>
                <w:color w:val="000000"/>
              </w:rPr>
              <w:t>Nije prihvaćeno. Ocijenjeno je da se prioritetno područje - evaluacija posebnih programa tretmana neće obuhvatiti ovom Sektorskom analizom  uzimajući u obzir da je to prioritetno područje predviđeno u  natječajima objavljenim u 2020. i 2021. godini, čime će biti pokrivene aktualne potrebe za evaluacijom posebnih programa.</w:t>
            </w:r>
          </w:p>
        </w:tc>
      </w:tr>
      <w:tr w:rsidR="00F01D02" w:rsidRPr="00C77F91" w:rsidTr="00F01D02">
        <w:trPr>
          <w:trHeight w:val="426"/>
        </w:trPr>
        <w:tc>
          <w:tcPr>
            <w:tcW w:w="6272"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F01D02" w:rsidRPr="00C77F91" w:rsidRDefault="00F01D02" w:rsidP="00F01D02">
            <w:pPr>
              <w:pStyle w:val="StandardWeb"/>
              <w:spacing w:before="0" w:beforeAutospacing="0" w:after="0" w:afterAutospacing="0"/>
              <w:jc w:val="both"/>
              <w:rPr>
                <w:sz w:val="22"/>
                <w:szCs w:val="22"/>
              </w:rPr>
            </w:pPr>
            <w:r w:rsidRPr="00C77F91">
              <w:rPr>
                <w:color w:val="000000"/>
                <w:sz w:val="22"/>
                <w:szCs w:val="22"/>
              </w:rPr>
              <w:t>S obzirom na višegodišnji angažman potpisanih organizacija civilnoga društva u ovom području rada, navode se sljedeće primjedbe, zapažanja i prijedloge za intervencije i poboljšanja analize:</w:t>
            </w:r>
          </w:p>
          <w:p w:rsidR="00F01D02" w:rsidRPr="00C77F91" w:rsidRDefault="00F01D02" w:rsidP="00F01D02">
            <w:pPr>
              <w:pStyle w:val="StandardWeb"/>
              <w:numPr>
                <w:ilvl w:val="0"/>
                <w:numId w:val="1"/>
              </w:numPr>
              <w:spacing w:before="0" w:beforeAutospacing="0" w:after="0" w:afterAutospacing="0"/>
              <w:jc w:val="both"/>
              <w:textAlignment w:val="baseline"/>
              <w:rPr>
                <w:b/>
                <w:bCs/>
                <w:color w:val="000000"/>
                <w:sz w:val="22"/>
                <w:szCs w:val="22"/>
              </w:rPr>
            </w:pPr>
            <w:r w:rsidRPr="00C77F91">
              <w:rPr>
                <w:b/>
                <w:bCs/>
                <w:color w:val="000000"/>
                <w:sz w:val="22"/>
                <w:szCs w:val="22"/>
              </w:rPr>
              <w:t>Aktualnost analize</w:t>
            </w:r>
          </w:p>
          <w:p w:rsidR="00F01D02" w:rsidRPr="00C77F91" w:rsidRDefault="00F01D02" w:rsidP="00F01D02">
            <w:pPr>
              <w:pStyle w:val="StandardWeb"/>
              <w:spacing w:before="0" w:beforeAutospacing="0" w:after="0" w:afterAutospacing="0"/>
              <w:jc w:val="both"/>
              <w:rPr>
                <w:sz w:val="22"/>
                <w:szCs w:val="22"/>
              </w:rPr>
            </w:pPr>
            <w:r w:rsidRPr="00C77F91">
              <w:rPr>
                <w:color w:val="000000"/>
                <w:sz w:val="22"/>
                <w:szCs w:val="22"/>
              </w:rPr>
              <w:t xml:space="preserve">U sektorskoj analizi prošle i ove godine nije uzet u obzir utjecaj </w:t>
            </w:r>
            <w:r w:rsidRPr="00C77F91">
              <w:rPr>
                <w:color w:val="000000"/>
                <w:sz w:val="22"/>
                <w:szCs w:val="22"/>
              </w:rPr>
              <w:lastRenderedPageBreak/>
              <w:t>pandemije COVID-19 na zatvorsku populaciju te nisu pretpostavljene ni ohrabrene intervencije koje bi pridonijele smanjenju štete po mentalno i fizičko zdravlje zatvorenika/zatvorenica uzrokovanih ograničenjima i nesigurnošću koju je ova okolnost imala i još uvijek ima na ovu populaciju. Također, analiza propušta osvrnuti se na kontekst povećanja broja zatvorske populacije te kakve implikacije ta činjenica ima na planirane intervencije. Smatramo da je također potrebno uzeti u obzir pogoršanje šireg društveno-ekonomskog okruženja koje utječe i na ovu korisnič</w:t>
            </w:r>
            <w:r>
              <w:rPr>
                <w:color w:val="000000"/>
                <w:sz w:val="22"/>
                <w:szCs w:val="22"/>
              </w:rPr>
              <w:t>k</w:t>
            </w:r>
            <w:r w:rsidRPr="00C77F91">
              <w:rPr>
                <w:color w:val="000000"/>
                <w:sz w:val="22"/>
                <w:szCs w:val="22"/>
              </w:rPr>
              <w:t>u populaciju te produbljuje njihove potrebe.</w:t>
            </w:r>
          </w:p>
          <w:p w:rsidR="00F01D02" w:rsidRPr="00C77F91" w:rsidRDefault="00F01D02" w:rsidP="00F01D02">
            <w:pPr>
              <w:pStyle w:val="StandardWeb"/>
              <w:numPr>
                <w:ilvl w:val="0"/>
                <w:numId w:val="2"/>
              </w:numPr>
              <w:spacing w:before="0" w:beforeAutospacing="0" w:after="0" w:afterAutospacing="0"/>
              <w:jc w:val="both"/>
              <w:textAlignment w:val="baseline"/>
              <w:rPr>
                <w:b/>
                <w:bCs/>
                <w:color w:val="000000"/>
                <w:sz w:val="22"/>
                <w:szCs w:val="22"/>
              </w:rPr>
            </w:pPr>
            <w:r w:rsidRPr="00C77F91">
              <w:rPr>
                <w:b/>
                <w:bCs/>
                <w:color w:val="000000"/>
                <w:sz w:val="22"/>
                <w:szCs w:val="22"/>
              </w:rPr>
              <w:t>Korisničke skupine</w:t>
            </w:r>
          </w:p>
          <w:p w:rsidR="00F01D02" w:rsidRPr="00C77F91" w:rsidRDefault="00F01D02" w:rsidP="00F01D02">
            <w:pPr>
              <w:pStyle w:val="StandardWeb"/>
              <w:spacing w:before="0" w:beforeAutospacing="0" w:after="0" w:afterAutospacing="0"/>
              <w:jc w:val="both"/>
              <w:rPr>
                <w:sz w:val="22"/>
                <w:szCs w:val="22"/>
              </w:rPr>
            </w:pPr>
            <w:r w:rsidRPr="00C77F91">
              <w:rPr>
                <w:color w:val="000000"/>
                <w:sz w:val="22"/>
                <w:szCs w:val="22"/>
              </w:rPr>
              <w:t xml:space="preserve">Smatramo da bi dio sektorske analize koji se odnosi na opis glavnih korisničkih skupina, njihova broja i potreba trebao biti podrobniji kako bi Ministarstvo moglo usmjerenije planirati </w:t>
            </w:r>
            <w:proofErr w:type="spellStart"/>
            <w:r w:rsidRPr="00C77F91">
              <w:rPr>
                <w:color w:val="000000"/>
                <w:sz w:val="22"/>
                <w:szCs w:val="22"/>
              </w:rPr>
              <w:t>tretmanske</w:t>
            </w:r>
            <w:proofErr w:type="spellEnd"/>
            <w:r w:rsidRPr="00C77F91">
              <w:rPr>
                <w:color w:val="000000"/>
                <w:sz w:val="22"/>
                <w:szCs w:val="22"/>
              </w:rPr>
              <w:t xml:space="preserve"> intervencije te kako bi udruge/organizacije civilnoga društva mogle predlagati kvalitetnija rješenja. Postojeći opis prikazuje zatvorenike kao homogenu skupinu i propušta identificirati različite skupine zatvorske populacije koje se suočavaju s različitim problemima i imaju različite potrebe. Primjerice, sektorska analiza referira se na maloljetnike koji izvršavaju kaznu maloljetničkog zatvora ili odgojne mjere upućivanja u odgojni zavod. Međutim, sektorska analiza ne diferencira maloljetnike i punoljetne zatvorenike u opisu problema i potreba. Dokument ne navodi bilo kakve specifičnosti te populacije. Smatramo da je potrebno podrobnije analizirati potrebe i probleme maloljetnika u zatvorskom sustavu kako bi se definirale specifične i ciljane intervencije za tu populaciju. Isti komentar odnosi se i na druge ranjive skupine, poput nacionalnih manjina, zatvorenica majki, osoba s problemom ovisnosti, osoba u riziku od beskućništva, recidivista i slično.</w:t>
            </w:r>
          </w:p>
          <w:p w:rsidR="00F01D02" w:rsidRPr="00C77F91" w:rsidRDefault="00F01D02" w:rsidP="00F01D02">
            <w:pPr>
              <w:pStyle w:val="StandardWeb"/>
              <w:numPr>
                <w:ilvl w:val="0"/>
                <w:numId w:val="3"/>
              </w:numPr>
              <w:spacing w:before="0" w:beforeAutospacing="0" w:after="0" w:afterAutospacing="0"/>
              <w:jc w:val="both"/>
              <w:textAlignment w:val="baseline"/>
              <w:rPr>
                <w:b/>
                <w:bCs/>
                <w:color w:val="000000"/>
                <w:sz w:val="22"/>
                <w:szCs w:val="22"/>
              </w:rPr>
            </w:pPr>
            <w:r w:rsidRPr="00C77F91">
              <w:rPr>
                <w:b/>
                <w:bCs/>
                <w:color w:val="000000"/>
                <w:sz w:val="22"/>
                <w:szCs w:val="22"/>
              </w:rPr>
              <w:t>Prioriteti koji se financiraju natječajem</w:t>
            </w:r>
          </w:p>
          <w:p w:rsidR="00F01D02" w:rsidRPr="00C77F91" w:rsidRDefault="00F01D02" w:rsidP="00F01D02">
            <w:pPr>
              <w:pStyle w:val="StandardWeb"/>
              <w:spacing w:before="0" w:beforeAutospacing="0" w:after="0" w:afterAutospacing="0"/>
              <w:jc w:val="both"/>
              <w:rPr>
                <w:sz w:val="22"/>
                <w:szCs w:val="22"/>
              </w:rPr>
            </w:pPr>
            <w:r w:rsidRPr="00C77F91">
              <w:rPr>
                <w:color w:val="000000"/>
                <w:sz w:val="22"/>
                <w:szCs w:val="22"/>
              </w:rPr>
              <w:t xml:space="preserve">Sektorska analiza obrazlaže način doprinosa udruga/organizacija civilnog društva rješavanju identificiranih problema u više područja (rad zatvorenika, obrazovanje zatvorenika, slobodno vrijeme zatvorenika, područje estetizacije i humanizacije životnog prostora zatvorenika, područje posebnih programa tretmana zatvorenika, </w:t>
            </w:r>
            <w:r w:rsidRPr="00C77F91">
              <w:rPr>
                <w:color w:val="000000"/>
                <w:sz w:val="22"/>
                <w:szCs w:val="22"/>
              </w:rPr>
              <w:lastRenderedPageBreak/>
              <w:t xml:space="preserve">očuvanje obiteljskih odnosa, </w:t>
            </w:r>
            <w:proofErr w:type="spellStart"/>
            <w:r w:rsidRPr="00C77F91">
              <w:rPr>
                <w:color w:val="000000"/>
                <w:sz w:val="22"/>
                <w:szCs w:val="22"/>
              </w:rPr>
              <w:t>postpenalni</w:t>
            </w:r>
            <w:proofErr w:type="spellEnd"/>
            <w:r w:rsidRPr="00C77F91">
              <w:rPr>
                <w:color w:val="000000"/>
                <w:sz w:val="22"/>
                <w:szCs w:val="22"/>
              </w:rPr>
              <w:t xml:space="preserve"> prihvat, područje povećanja kapaciteta službenika zatvorskog sustava i probacije). Nije jasno na temelju čega se donosi konačna odluka o prioritetima natječaja koji se temelji na sektorskoj analizi, s obzirom na činjenicu da se neka od gore navedenih područja ne adresiraju natječajem. Primjerice, u prošlogodišnjem natječaju područje očuvanja obiteljskih odnosa kao prioritet financiranja nije postojalo, unatoč razornom utjecaju ograničenja uvedenih zbog pandemije upravo na ovaj segment resocijalizacije.   </w:t>
            </w:r>
          </w:p>
          <w:p w:rsidR="00F01D02" w:rsidRPr="00C77F91" w:rsidRDefault="00F01D02" w:rsidP="00F01D02">
            <w:pPr>
              <w:pStyle w:val="StandardWeb"/>
              <w:numPr>
                <w:ilvl w:val="0"/>
                <w:numId w:val="4"/>
              </w:numPr>
              <w:spacing w:before="0" w:beforeAutospacing="0" w:after="0" w:afterAutospacing="0"/>
              <w:jc w:val="both"/>
              <w:textAlignment w:val="baseline"/>
              <w:rPr>
                <w:b/>
                <w:bCs/>
                <w:color w:val="000000"/>
                <w:sz w:val="22"/>
                <w:szCs w:val="22"/>
              </w:rPr>
            </w:pPr>
            <w:r w:rsidRPr="00C77F91">
              <w:rPr>
                <w:b/>
                <w:bCs/>
                <w:color w:val="000000"/>
                <w:sz w:val="22"/>
                <w:szCs w:val="22"/>
              </w:rPr>
              <w:t>Planirana sredstva Natječaja</w:t>
            </w:r>
          </w:p>
          <w:p w:rsidR="00F01D02" w:rsidRPr="00C77F91" w:rsidRDefault="00F01D02" w:rsidP="00F01D02">
            <w:pPr>
              <w:pStyle w:val="StandardWeb"/>
              <w:spacing w:before="0" w:beforeAutospacing="0" w:after="0" w:afterAutospacing="0"/>
              <w:jc w:val="both"/>
              <w:rPr>
                <w:sz w:val="22"/>
                <w:szCs w:val="22"/>
              </w:rPr>
            </w:pPr>
            <w:r w:rsidRPr="00C77F91">
              <w:rPr>
                <w:color w:val="000000"/>
                <w:sz w:val="22"/>
                <w:szCs w:val="22"/>
              </w:rPr>
              <w:t>U dokumentu se konstatira činjenica povećanja broja zatvorenika i maloljetnika koji izdržavanju kaznu zatvora, kaznu maloljetničkog zatvora i odgojnu mjeru upućivanja u odgojni zavod te broja osoba u istražnom zatvoru, u odnosu na prethodne godine. Tako je broj zatvorenika povećan sa 4300 na 4700, a broj osoba drugih formalno-pravnih kategorija sa 6300 na 7300. Istovremeno, nije došlo do povećanja kapaciteta Ministarstva, odnosno povećanja broja stručnjaka koji rade s ciljanom skupinom u zatvorskom sustavu. U kontekstu djelovanja udruga, nije predviđeno povećanje sredstava za Natječaj za financiranje projekata i programa udruga usmjerenih pružanju potpore provođenju programa postupanja/izvršavanja kazne zatvora u 2023. godini. Planirani iznos od 3.500.000,00 kn je isti kao i u prošlogodišnjem natječaju. To znači da veći broj zatvorenika i maloljetnika neće biti adekva</w:t>
            </w:r>
            <w:r>
              <w:rPr>
                <w:color w:val="000000"/>
                <w:sz w:val="22"/>
                <w:szCs w:val="22"/>
              </w:rPr>
              <w:t>t</w:t>
            </w:r>
            <w:r w:rsidRPr="00C77F91">
              <w:rPr>
                <w:color w:val="000000"/>
                <w:sz w:val="22"/>
                <w:szCs w:val="22"/>
              </w:rPr>
              <w:t>no obuhvaćen uslugama u kontekstu poštovanja ljudskih prava i dostojanstva zatvorenika te njihova osposobljavanja za život na slobodi. Smatramo da je potrebno zagovarati raspodjelu većeg udjela lutrijskih sredstava za ovaj Natječaj, s obzirom na značajno povećanje broja zatvorske populacije te negativnog utjecaja pandemije. </w:t>
            </w:r>
          </w:p>
          <w:p w:rsidR="00F01D02" w:rsidRPr="00C77F91" w:rsidRDefault="00F01D02" w:rsidP="00F01D02">
            <w:pPr>
              <w:pStyle w:val="StandardWeb"/>
              <w:spacing w:before="0" w:beforeAutospacing="0" w:after="0" w:afterAutospacing="0"/>
              <w:jc w:val="both"/>
              <w:rPr>
                <w:sz w:val="22"/>
                <w:szCs w:val="22"/>
              </w:rPr>
            </w:pPr>
            <w:r w:rsidRPr="00C77F91">
              <w:rPr>
                <w:color w:val="000000"/>
                <w:sz w:val="22"/>
                <w:szCs w:val="22"/>
              </w:rPr>
              <w:t xml:space="preserve">Osim toga, sukladno Strateškom planu Ministarstva pravosuđa za razdoblje 2020.-2022. (Posebni cilj 1.3. - 1.3.1.2.), planira se progresivno povećanje broja sklopljenih ugovora s udrugama/organizacijama civilnoga društva. Tako ciljana vrijednost sklopljenih ugovora za 2022. godine iznosi 25. Planirana sredstva i, sukladno tome, planirani broj ugovora za 2023. (10-20 projekata) </w:t>
            </w:r>
            <w:r w:rsidRPr="00C77F91">
              <w:rPr>
                <w:color w:val="000000"/>
                <w:sz w:val="22"/>
                <w:szCs w:val="22"/>
              </w:rPr>
              <w:lastRenderedPageBreak/>
              <w:t>predstavljaju regresiju te su daleko od razvojne vizije koju Strateški plan ima.  </w:t>
            </w:r>
          </w:p>
          <w:p w:rsidR="00F01D02" w:rsidRPr="00C77F91" w:rsidRDefault="00F01D02" w:rsidP="00F01D02">
            <w:pPr>
              <w:pStyle w:val="StandardWeb"/>
              <w:spacing w:before="0" w:beforeAutospacing="0" w:after="0" w:afterAutospacing="0"/>
              <w:jc w:val="both"/>
              <w:rPr>
                <w:sz w:val="22"/>
                <w:szCs w:val="22"/>
              </w:rPr>
            </w:pPr>
            <w:r w:rsidRPr="00C77F91">
              <w:rPr>
                <w:color w:val="000000"/>
                <w:sz w:val="22"/>
                <w:szCs w:val="22"/>
              </w:rPr>
              <w:t>Također, udruge okupljene u Platformu za resocijalizaciju, neformalnu mrežu organizacija civilnog društva koje djeluju u ovom području, navode i izazove s kojima se susreću kod ugovaranja i provedbe financiranih projekata i programa. Neke od njih su:</w:t>
            </w:r>
          </w:p>
          <w:p w:rsidR="00F01D02" w:rsidRPr="00C77F91" w:rsidRDefault="00F01D02" w:rsidP="00F01D02">
            <w:pPr>
              <w:pStyle w:val="StandardWeb"/>
              <w:numPr>
                <w:ilvl w:val="0"/>
                <w:numId w:val="5"/>
              </w:numPr>
              <w:spacing w:before="0" w:beforeAutospacing="0" w:after="0" w:afterAutospacing="0"/>
              <w:jc w:val="both"/>
              <w:textAlignment w:val="baseline"/>
              <w:rPr>
                <w:color w:val="000000"/>
                <w:sz w:val="22"/>
                <w:szCs w:val="22"/>
              </w:rPr>
            </w:pPr>
            <w:r w:rsidRPr="00C77F91">
              <w:rPr>
                <w:color w:val="000000"/>
                <w:sz w:val="22"/>
                <w:szCs w:val="22"/>
              </w:rPr>
              <w:t>Smanjenja proračuna pri ugovaranju, posebno u dijelu indirektnih troškova i troškova plaća. </w:t>
            </w:r>
          </w:p>
          <w:p w:rsidR="00F01D02" w:rsidRPr="00C77F91" w:rsidRDefault="00F01D02" w:rsidP="00F01D02">
            <w:pPr>
              <w:pStyle w:val="StandardWeb"/>
              <w:numPr>
                <w:ilvl w:val="0"/>
                <w:numId w:val="5"/>
              </w:numPr>
              <w:spacing w:before="0" w:beforeAutospacing="0" w:after="0" w:afterAutospacing="0"/>
              <w:jc w:val="both"/>
              <w:textAlignment w:val="baseline"/>
              <w:rPr>
                <w:color w:val="000000"/>
                <w:sz w:val="22"/>
                <w:szCs w:val="22"/>
              </w:rPr>
            </w:pPr>
            <w:r w:rsidRPr="00C77F91">
              <w:rPr>
                <w:color w:val="000000"/>
                <w:sz w:val="22"/>
                <w:szCs w:val="22"/>
              </w:rPr>
              <w:t>Kontinuitet rada i opsežne evaluacije koje dokazuju uspješnost u provedbi nisu dodatno bodovani. </w:t>
            </w:r>
          </w:p>
          <w:p w:rsidR="00F01D02" w:rsidRPr="00C77F91" w:rsidRDefault="00F01D02" w:rsidP="00F01D02">
            <w:pPr>
              <w:pStyle w:val="StandardWeb"/>
              <w:numPr>
                <w:ilvl w:val="0"/>
                <w:numId w:val="5"/>
              </w:numPr>
              <w:spacing w:before="0" w:beforeAutospacing="0" w:after="0" w:afterAutospacing="0"/>
              <w:jc w:val="both"/>
              <w:textAlignment w:val="baseline"/>
              <w:rPr>
                <w:color w:val="000000"/>
                <w:sz w:val="22"/>
                <w:szCs w:val="22"/>
              </w:rPr>
            </w:pPr>
            <w:r w:rsidRPr="00C77F91">
              <w:rPr>
                <w:color w:val="000000"/>
                <w:sz w:val="22"/>
                <w:szCs w:val="22"/>
              </w:rPr>
              <w:t>Nedostatnost kvalitetnih podataka, analiza i istraživanja o potrebama korisničke populacije zbog čega je teško pristupiti kvalitetnoj pripremi projekata i programa. </w:t>
            </w:r>
          </w:p>
          <w:p w:rsidR="00F01D02" w:rsidRPr="00C77F91" w:rsidRDefault="00F01D02" w:rsidP="00F01D02">
            <w:pPr>
              <w:spacing w:line="240" w:lineRule="auto"/>
              <w:jc w:val="both"/>
              <w:rPr>
                <w:rFonts w:ascii="Times New Roman" w:hAnsi="Times New Roman" w:cs="Times New Roman"/>
                <w:color w:val="000000"/>
              </w:rPr>
            </w:pPr>
          </w:p>
        </w:tc>
        <w:tc>
          <w:tcPr>
            <w:tcW w:w="1808" w:type="dxa"/>
            <w:tcBorders>
              <w:top w:val="nil"/>
              <w:left w:val="nil"/>
              <w:bottom w:val="single" w:sz="4" w:space="0" w:color="auto"/>
              <w:right w:val="single" w:sz="8" w:space="0" w:color="auto"/>
            </w:tcBorders>
            <w:tcMar>
              <w:top w:w="0" w:type="dxa"/>
              <w:left w:w="108" w:type="dxa"/>
              <w:bottom w:w="0" w:type="dxa"/>
              <w:right w:w="108" w:type="dxa"/>
            </w:tcMar>
            <w:hideMark/>
          </w:tcPr>
          <w:p w:rsidR="00F01D02" w:rsidRPr="00C77F91" w:rsidRDefault="00F01D02" w:rsidP="00F01D02">
            <w:pPr>
              <w:spacing w:line="240" w:lineRule="auto"/>
              <w:ind w:left="426"/>
              <w:jc w:val="both"/>
              <w:rPr>
                <w:rFonts w:ascii="Times New Roman" w:hAnsi="Times New Roman" w:cs="Times New Roman"/>
                <w:color w:val="000000"/>
              </w:rPr>
            </w:pPr>
          </w:p>
        </w:tc>
        <w:tc>
          <w:tcPr>
            <w:tcW w:w="5954" w:type="dxa"/>
            <w:tcBorders>
              <w:top w:val="nil"/>
              <w:left w:val="nil"/>
              <w:bottom w:val="single" w:sz="4" w:space="0" w:color="auto"/>
              <w:right w:val="single" w:sz="8" w:space="0" w:color="auto"/>
            </w:tcBorders>
            <w:tcMar>
              <w:top w:w="0" w:type="dxa"/>
              <w:left w:w="108" w:type="dxa"/>
              <w:bottom w:w="0" w:type="dxa"/>
              <w:right w:w="108" w:type="dxa"/>
            </w:tcMar>
            <w:hideMark/>
          </w:tcPr>
          <w:p w:rsidR="00F01D02" w:rsidRPr="00C77F91" w:rsidRDefault="00F01D02" w:rsidP="00F01D02">
            <w:pPr>
              <w:pStyle w:val="Odlomakpopisa"/>
              <w:numPr>
                <w:ilvl w:val="0"/>
                <w:numId w:val="6"/>
              </w:numPr>
              <w:spacing w:after="0" w:line="240" w:lineRule="auto"/>
              <w:ind w:left="232" w:hanging="284"/>
              <w:contextualSpacing w:val="0"/>
              <w:jc w:val="both"/>
              <w:rPr>
                <w:rFonts w:ascii="Times New Roman" w:hAnsi="Times New Roman" w:cs="Times New Roman"/>
                <w:b/>
              </w:rPr>
            </w:pPr>
            <w:r w:rsidRPr="00C77F91">
              <w:rPr>
                <w:rFonts w:ascii="Times New Roman" w:hAnsi="Times New Roman" w:cs="Times New Roman"/>
                <w:b/>
              </w:rPr>
              <w:t>Aktualnost analize</w:t>
            </w:r>
          </w:p>
          <w:p w:rsidR="00F01D02" w:rsidRPr="00C77F91" w:rsidRDefault="00F01D02" w:rsidP="00F01D02">
            <w:pPr>
              <w:spacing w:after="0" w:line="240" w:lineRule="auto"/>
              <w:jc w:val="both"/>
              <w:rPr>
                <w:rFonts w:ascii="Times New Roman" w:hAnsi="Times New Roman" w:cs="Times New Roman"/>
              </w:rPr>
            </w:pPr>
            <w:r w:rsidRPr="00C77F91">
              <w:rPr>
                <w:rFonts w:ascii="Times New Roman" w:hAnsi="Times New Roman" w:cs="Times New Roman"/>
              </w:rPr>
              <w:t xml:space="preserve">Nije prihvaćeno. Briga o mentalnom zdravlju osoba lišenih slobode spada u redovne poslove odjela zdravstvene zaštite i odjela tretmana kaznenih tijela, a udruge mogu dati svoj doprinos brizi za mentalno zdravlje, kao i smanjenju štete po mentalno i fizičko zdravlje, kroz prijavljivanje i provedbu </w:t>
            </w:r>
            <w:r w:rsidRPr="00C77F91">
              <w:rPr>
                <w:rFonts w:ascii="Times New Roman" w:hAnsi="Times New Roman" w:cs="Times New Roman"/>
              </w:rPr>
              <w:lastRenderedPageBreak/>
              <w:t>projekata u okviru predviđenih prioritetnih područja. Nadalje, okolnost povećanja broja zatvorenika može eventualno ukazivati da će veći broj zatvorenika/</w:t>
            </w:r>
            <w:proofErr w:type="spellStart"/>
            <w:r w:rsidRPr="00C77F91">
              <w:rPr>
                <w:rFonts w:ascii="Times New Roman" w:hAnsi="Times New Roman" w:cs="Times New Roman"/>
              </w:rPr>
              <w:t>ca</w:t>
            </w:r>
            <w:proofErr w:type="spellEnd"/>
            <w:r w:rsidRPr="00C77F91">
              <w:rPr>
                <w:rFonts w:ascii="Times New Roman" w:hAnsi="Times New Roman" w:cs="Times New Roman"/>
              </w:rPr>
              <w:t xml:space="preserve"> biti zainteresiran za određeni projekt/program. U postupku pripreme projekta, organizacija civilnog društva dostavlja na mišljenje projektni prijedlog, a kazneno tijelo daje mišljenje o konkretnom projektnom prijedlogu, uzimajući u obzir potrebe i broj zainteresiranih  zatvorenika/</w:t>
            </w:r>
            <w:proofErr w:type="spellStart"/>
            <w:r w:rsidRPr="00C77F91">
              <w:rPr>
                <w:rFonts w:ascii="Times New Roman" w:hAnsi="Times New Roman" w:cs="Times New Roman"/>
              </w:rPr>
              <w:t>ca</w:t>
            </w:r>
            <w:proofErr w:type="spellEnd"/>
            <w:r w:rsidRPr="00C77F91">
              <w:rPr>
                <w:rFonts w:ascii="Times New Roman" w:hAnsi="Times New Roman" w:cs="Times New Roman"/>
              </w:rPr>
              <w:t xml:space="preserve"> te druge preduvjete za provedbu projekta.</w:t>
            </w:r>
          </w:p>
          <w:p w:rsidR="00F01D02" w:rsidRPr="00C77F91" w:rsidRDefault="00F01D02" w:rsidP="00F01D02">
            <w:pPr>
              <w:pStyle w:val="Odlomakpopisa"/>
              <w:numPr>
                <w:ilvl w:val="0"/>
                <w:numId w:val="6"/>
              </w:numPr>
              <w:spacing w:after="0" w:line="240" w:lineRule="auto"/>
              <w:ind w:left="232" w:hanging="232"/>
              <w:contextualSpacing w:val="0"/>
              <w:jc w:val="both"/>
              <w:rPr>
                <w:rFonts w:ascii="Times New Roman" w:hAnsi="Times New Roman" w:cs="Times New Roman"/>
                <w:b/>
              </w:rPr>
            </w:pPr>
            <w:r w:rsidRPr="00C77F91">
              <w:rPr>
                <w:rFonts w:ascii="Times New Roman" w:hAnsi="Times New Roman" w:cs="Times New Roman"/>
                <w:b/>
              </w:rPr>
              <w:t>Korisničke skupine</w:t>
            </w:r>
          </w:p>
          <w:p w:rsidR="00F01D02" w:rsidRPr="00C77F91" w:rsidRDefault="00F01D02" w:rsidP="00F01D02">
            <w:pPr>
              <w:spacing w:after="0" w:line="240" w:lineRule="auto"/>
              <w:jc w:val="both"/>
              <w:rPr>
                <w:rFonts w:ascii="Times New Roman" w:hAnsi="Times New Roman" w:cs="Times New Roman"/>
              </w:rPr>
            </w:pPr>
            <w:r w:rsidRPr="00C77F91">
              <w:rPr>
                <w:rFonts w:ascii="Times New Roman" w:hAnsi="Times New Roman" w:cs="Times New Roman"/>
              </w:rPr>
              <w:t>Nije prihvaćeno. Korisničke skupine se definiraju sukladno potrebama koje se procjenjuju na razini Uprave za zatvorski sustav i probaciju, a u skladu sa strateškim dokumentima Ministarstva pravosuđa i uprave. Značajan broj zatvorenika ima višestruke potrebe te se fokusiranjem samo na određenu potrebu (npr. beskućništvo, ovisnost) ne doprinosi u dovoljnoj mjeri prevenciji recidivizma i poboljšanju kvalitete života. Osim što se u okviru predviđenih prioritetnih područja ranjive skupine zatvorenika mogu i trebaju uključivati u različite aktivnosti u koje se uključuju i ostali zatvorenici, udruge se u okviru svojih prijava i sada mogu fokusirati na pojedine ranjive skupine unutar zatvoreničke populacije, vodeći pritom računa o broju mogućih korisnika takvih aktivnosti. Podaci o različitim skupinama osoba lišenih slobode javno su dostupni iz Godišnjih izvješća o stanju i radu kaznionica, zatvora i odgojnih zavoda (</w:t>
            </w:r>
            <w:hyperlink r:id="rId6" w:history="1">
              <w:r w:rsidRPr="00780799">
                <w:rPr>
                  <w:rStyle w:val="Hiperveza"/>
                  <w:rFonts w:ascii="Times New Roman" w:hAnsi="Times New Roman" w:cs="Times New Roman"/>
                </w:rPr>
                <w:t>https://mpu.gov.hr/izvjesce-o-stanju-i-radu-kaznionica-zatvora-i-odgojnih-zavoda-26215/26215</w:t>
              </w:r>
            </w:hyperlink>
            <w:r w:rsidRPr="00C77F91">
              <w:rPr>
                <w:rFonts w:ascii="Times New Roman" w:hAnsi="Times New Roman" w:cs="Times New Roman"/>
              </w:rPr>
              <w:t xml:space="preserve">). </w:t>
            </w:r>
          </w:p>
          <w:p w:rsidR="00F01D02" w:rsidRPr="00C77F91" w:rsidRDefault="00F01D02" w:rsidP="00F01D02">
            <w:pPr>
              <w:spacing w:after="0" w:line="240" w:lineRule="auto"/>
              <w:jc w:val="both"/>
              <w:rPr>
                <w:rFonts w:ascii="Times New Roman" w:hAnsi="Times New Roman" w:cs="Times New Roman"/>
              </w:rPr>
            </w:pPr>
            <w:r w:rsidRPr="00C77F91">
              <w:rPr>
                <w:rFonts w:ascii="Times New Roman" w:hAnsi="Times New Roman" w:cs="Times New Roman"/>
              </w:rPr>
              <w:t xml:space="preserve">Na utvrđene specifične potrebe maloljetnika odgovara se kroz redovitu djelatnost Uprave za zatvorski sustav i probaciju te provedbom programa ISKORAK, kojem je cilj unapređenje procjene i intervencija za djecu i mlade s problemima u ponašanju u ustanovama socijalne skrbi i pravosuđa. Program se provodi u suradnji Ministarstva rada, mirovinskog sustava, obitelji i socijalne politike, Ministarstva pravosuđa i uprave, Ureda UNICEF-a za Hrvatsku i Edukacijsko-rehabilitacijskog fakulteta Sveučilišta u Zagrebu, na temelju potpisnog </w:t>
            </w:r>
            <w:r w:rsidRPr="00C77F91">
              <w:rPr>
                <w:rFonts w:ascii="Times New Roman" w:hAnsi="Times New Roman" w:cs="Times New Roman"/>
              </w:rPr>
              <w:lastRenderedPageBreak/>
              <w:t>Memorandum o razumijevanju. U smislu aktivnosti koje mogu provoditi udruge na temelju Natječaja, procijenjene potrebe maloljetnika koji izvršavanju kaznenopravne sankcije i mjere ne razlikuju se bitno od potreba odraslih počinitelja kaznenih djela te stoga nisu posebno izdvojene u Sektorskoj analizi.</w:t>
            </w:r>
          </w:p>
          <w:p w:rsidR="00F01D02" w:rsidRPr="00C77F91" w:rsidRDefault="00F01D02" w:rsidP="00F01D02">
            <w:pPr>
              <w:pStyle w:val="Odlomakpopisa"/>
              <w:numPr>
                <w:ilvl w:val="0"/>
                <w:numId w:val="6"/>
              </w:numPr>
              <w:spacing w:after="0" w:line="240" w:lineRule="auto"/>
              <w:ind w:left="337" w:hanging="337"/>
              <w:jc w:val="both"/>
              <w:rPr>
                <w:rFonts w:ascii="Times New Roman" w:hAnsi="Times New Roman" w:cs="Times New Roman"/>
                <w:b/>
                <w:color w:val="000000"/>
              </w:rPr>
            </w:pPr>
            <w:r w:rsidRPr="00C77F91">
              <w:rPr>
                <w:rFonts w:ascii="Times New Roman" w:hAnsi="Times New Roman" w:cs="Times New Roman"/>
                <w:b/>
                <w:color w:val="000000"/>
              </w:rPr>
              <w:t>Prioriteti koji se financiraju Natječajem</w:t>
            </w:r>
          </w:p>
          <w:p w:rsidR="00F01D02" w:rsidRPr="00C77F91" w:rsidRDefault="00F01D02" w:rsidP="00F01D02">
            <w:pPr>
              <w:spacing w:after="0" w:line="240" w:lineRule="auto"/>
              <w:jc w:val="both"/>
              <w:rPr>
                <w:rFonts w:ascii="Times New Roman" w:hAnsi="Times New Roman" w:cs="Times New Roman"/>
              </w:rPr>
            </w:pPr>
            <w:r w:rsidRPr="00C77F91">
              <w:rPr>
                <w:rFonts w:ascii="Times New Roman" w:hAnsi="Times New Roman" w:cs="Times New Roman"/>
              </w:rPr>
              <w:t>Nije prihvaćeno. N</w:t>
            </w:r>
            <w:r w:rsidRPr="00C77F91">
              <w:rPr>
                <w:rFonts w:ascii="Times New Roman" w:hAnsi="Times New Roman" w:cs="Times New Roman"/>
                <w:color w:val="000000"/>
              </w:rPr>
              <w:t>aglašavamo da su zatvorski sustav i sustav probacije nadležni samo za osobe prema kojima se izvršavaju kaznene sankcije i mjere te ne može kontrolirati provedbu aktivnosti s članovima obitelji koji se nalaze na slobodi. U projektima koje su se do sada provodili u tom prioritetnom području, nisu realizirani ciljevi</w:t>
            </w:r>
            <w:r w:rsidRPr="00C77F91">
              <w:rPr>
                <w:rFonts w:ascii="Times New Roman" w:hAnsi="Times New Roman" w:cs="Times New Roman"/>
              </w:rPr>
              <w:t xml:space="preserve"> sukladno planiranim programskim aktivnostima (nedovoljan broj zainteresiranih, poteškoće u organizaciji i dr.). Prioritetna područja se definiraju sukladno potrebama koje se procjenjuju na razini Uprave za zatvorski sustav i probaciju.</w:t>
            </w:r>
          </w:p>
          <w:p w:rsidR="00F01D02" w:rsidRPr="00C77F91" w:rsidRDefault="00F01D02" w:rsidP="00F01D02">
            <w:pPr>
              <w:pStyle w:val="Odlomakpopisa"/>
              <w:numPr>
                <w:ilvl w:val="0"/>
                <w:numId w:val="6"/>
              </w:numPr>
              <w:spacing w:after="0" w:line="240" w:lineRule="auto"/>
              <w:ind w:left="317" w:hanging="317"/>
              <w:contextualSpacing w:val="0"/>
              <w:jc w:val="both"/>
              <w:rPr>
                <w:rFonts w:ascii="Times New Roman" w:hAnsi="Times New Roman" w:cs="Times New Roman"/>
                <w:b/>
              </w:rPr>
            </w:pPr>
            <w:r w:rsidRPr="00C77F91">
              <w:rPr>
                <w:rFonts w:ascii="Times New Roman" w:hAnsi="Times New Roman" w:cs="Times New Roman"/>
                <w:b/>
              </w:rPr>
              <w:t>Planirana sredstava Natječaja</w:t>
            </w:r>
          </w:p>
          <w:p w:rsidR="00F01D02" w:rsidRPr="00C77F91" w:rsidRDefault="00F01D02" w:rsidP="00F01D02">
            <w:pPr>
              <w:spacing w:after="0" w:line="240" w:lineRule="auto"/>
              <w:ind w:left="34"/>
              <w:jc w:val="both"/>
              <w:rPr>
                <w:rFonts w:ascii="Times New Roman" w:hAnsi="Times New Roman" w:cs="Times New Roman"/>
              </w:rPr>
            </w:pPr>
            <w:r w:rsidRPr="00C77F91">
              <w:rPr>
                <w:rFonts w:ascii="Times New Roman" w:hAnsi="Times New Roman" w:cs="Times New Roman"/>
              </w:rPr>
              <w:t>Nije prihvaćeno. Okvirne ciljane vrijednosti</w:t>
            </w:r>
            <w:r>
              <w:rPr>
                <w:rFonts w:ascii="Times New Roman" w:hAnsi="Times New Roman" w:cs="Times New Roman"/>
              </w:rPr>
              <w:t xml:space="preserve"> navedene u</w:t>
            </w:r>
            <w:r w:rsidRPr="00C77F91">
              <w:rPr>
                <w:rFonts w:ascii="Times New Roman" w:hAnsi="Times New Roman" w:cs="Times New Roman"/>
              </w:rPr>
              <w:t xml:space="preserve"> </w:t>
            </w:r>
            <w:r w:rsidRPr="00122BDF">
              <w:rPr>
                <w:rFonts w:ascii="Times New Roman" w:hAnsi="Times New Roman" w:cs="Times New Roman"/>
              </w:rPr>
              <w:t xml:space="preserve">Strateškom planu Ministarstva pravosuđa za razdoblje 2020.-2022. </w:t>
            </w:r>
            <w:r w:rsidRPr="00C77F91">
              <w:rPr>
                <w:rFonts w:ascii="Times New Roman" w:hAnsi="Times New Roman" w:cs="Times New Roman"/>
              </w:rPr>
              <w:t>se ne odnose samo na nove projekte</w:t>
            </w:r>
            <w:r>
              <w:rPr>
                <w:rFonts w:ascii="Times New Roman" w:hAnsi="Times New Roman" w:cs="Times New Roman"/>
              </w:rPr>
              <w:t>, nego na ukupan broj aktivnih projekata tijekom godine, što u pravilu obuhvaća 2 natječaja (iz prethodne i iz tekuće godine)</w:t>
            </w:r>
            <w:r w:rsidRPr="00C77F91">
              <w:rPr>
                <w:rFonts w:ascii="Times New Roman" w:hAnsi="Times New Roman" w:cs="Times New Roman"/>
              </w:rPr>
              <w:t>. Sredstva koja se dodjeljuju Ministarstvu pravosuđa i uprave na razdjel 109 za aktivnost A630000 –</w:t>
            </w:r>
            <w:r>
              <w:rPr>
                <w:rFonts w:ascii="Times New Roman" w:hAnsi="Times New Roman" w:cs="Times New Roman"/>
              </w:rPr>
              <w:t xml:space="preserve"> </w:t>
            </w:r>
            <w:r w:rsidRPr="00C77F91">
              <w:rPr>
                <w:rFonts w:ascii="Times New Roman" w:hAnsi="Times New Roman" w:cs="Times New Roman"/>
              </w:rPr>
              <w:t xml:space="preserve">Izvršavanje kazne zatvora, mjere pritvora i odgojne mjere određena su Uredbom za utvrđivanje korisnika i načinu raspodjele prihoda od igara na sreću za </w:t>
            </w:r>
            <w:r>
              <w:rPr>
                <w:rFonts w:ascii="Times New Roman" w:hAnsi="Times New Roman" w:cs="Times New Roman"/>
              </w:rPr>
              <w:t>određenu</w:t>
            </w:r>
            <w:r w:rsidRPr="00C77F91">
              <w:rPr>
                <w:rFonts w:ascii="Times New Roman" w:hAnsi="Times New Roman" w:cs="Times New Roman"/>
              </w:rPr>
              <w:t xml:space="preserve"> godinu</w:t>
            </w:r>
            <w:r>
              <w:rPr>
                <w:rFonts w:ascii="Times New Roman" w:hAnsi="Times New Roman" w:cs="Times New Roman"/>
              </w:rPr>
              <w:t>,</w:t>
            </w:r>
            <w:r w:rsidRPr="00C77F91">
              <w:rPr>
                <w:rFonts w:ascii="Times New Roman" w:hAnsi="Times New Roman" w:cs="Times New Roman"/>
              </w:rPr>
              <w:t xml:space="preserve"> koju donosi Vlada Republike Hrvatske. </w:t>
            </w:r>
            <w:r>
              <w:rPr>
                <w:rFonts w:ascii="Times New Roman" w:hAnsi="Times New Roman" w:cs="Times New Roman"/>
              </w:rPr>
              <w:t xml:space="preserve">Sredstva planirana Uredbom odgovaraju procijenjenim potrebama kaznenih tijela i </w:t>
            </w:r>
            <w:proofErr w:type="spellStart"/>
            <w:r>
              <w:rPr>
                <w:rFonts w:ascii="Times New Roman" w:hAnsi="Times New Roman" w:cs="Times New Roman"/>
              </w:rPr>
              <w:t>probacijskih</w:t>
            </w:r>
            <w:proofErr w:type="spellEnd"/>
            <w:r>
              <w:rPr>
                <w:rFonts w:ascii="Times New Roman" w:hAnsi="Times New Roman" w:cs="Times New Roman"/>
              </w:rPr>
              <w:t xml:space="preserve"> ureda te kapacitetima Uprave za zatvorski sustav za pripremu i provođenje Javnog natječaja i nadzor nad provođenjem projektnih aktivnosti i trošenjem dodijeljenih sredstava. Nadalje, povećan broj </w:t>
            </w:r>
            <w:r w:rsidRPr="00C77F91">
              <w:rPr>
                <w:rFonts w:ascii="Times New Roman" w:hAnsi="Times New Roman" w:cs="Times New Roman"/>
              </w:rPr>
              <w:t>zatvorenika može ukazivati da će veći broj zatvorenika/</w:t>
            </w:r>
            <w:proofErr w:type="spellStart"/>
            <w:r w:rsidRPr="00C77F91">
              <w:rPr>
                <w:rFonts w:ascii="Times New Roman" w:hAnsi="Times New Roman" w:cs="Times New Roman"/>
              </w:rPr>
              <w:t>ca</w:t>
            </w:r>
            <w:proofErr w:type="spellEnd"/>
            <w:r w:rsidRPr="00C77F91">
              <w:rPr>
                <w:rFonts w:ascii="Times New Roman" w:hAnsi="Times New Roman" w:cs="Times New Roman"/>
              </w:rPr>
              <w:t xml:space="preserve"> biti zainteresiran za određeni projekt/program, s obzirom da je iz dosadašnje prakse eviden</w:t>
            </w:r>
            <w:r>
              <w:rPr>
                <w:rFonts w:ascii="Times New Roman" w:hAnsi="Times New Roman" w:cs="Times New Roman"/>
              </w:rPr>
              <w:t>ta</w:t>
            </w:r>
            <w:r w:rsidRPr="00C77F91">
              <w:rPr>
                <w:rFonts w:ascii="Times New Roman" w:hAnsi="Times New Roman" w:cs="Times New Roman"/>
              </w:rPr>
              <w:t xml:space="preserve">n problem nemogućnosti uključivanja ciljanog broja zatvorenika </w:t>
            </w:r>
            <w:r w:rsidRPr="00C77F91">
              <w:rPr>
                <w:rFonts w:ascii="Times New Roman" w:hAnsi="Times New Roman" w:cs="Times New Roman"/>
              </w:rPr>
              <w:lastRenderedPageBreak/>
              <w:t xml:space="preserve">koji je predviđen određenim projektom (nedovoljan interes zatvorenika, odustanak, sigurnosni problemi i sl.). </w:t>
            </w:r>
            <w:r>
              <w:rPr>
                <w:rFonts w:ascii="Times New Roman" w:hAnsi="Times New Roman" w:cs="Times New Roman"/>
              </w:rPr>
              <w:t xml:space="preserve">Vezano uz komentar o </w:t>
            </w:r>
            <w:r w:rsidRPr="00C77F91">
              <w:rPr>
                <w:rFonts w:ascii="Times New Roman" w:hAnsi="Times New Roman" w:cs="Times New Roman"/>
              </w:rPr>
              <w:t>ocjenjivanj</w:t>
            </w:r>
            <w:r>
              <w:rPr>
                <w:rFonts w:ascii="Times New Roman" w:hAnsi="Times New Roman" w:cs="Times New Roman"/>
              </w:rPr>
              <w:t>u</w:t>
            </w:r>
            <w:r w:rsidRPr="00C77F91">
              <w:rPr>
                <w:rFonts w:ascii="Times New Roman" w:hAnsi="Times New Roman" w:cs="Times New Roman"/>
              </w:rPr>
              <w:t xml:space="preserve"> prijavljenih projekata, </w:t>
            </w:r>
            <w:r>
              <w:rPr>
                <w:rFonts w:ascii="Times New Roman" w:hAnsi="Times New Roman" w:cs="Times New Roman"/>
              </w:rPr>
              <w:t xml:space="preserve">ističemo da se </w:t>
            </w:r>
            <w:r w:rsidRPr="00C77F91">
              <w:rPr>
                <w:rFonts w:ascii="Times New Roman" w:hAnsi="Times New Roman" w:cs="Times New Roman"/>
              </w:rPr>
              <w:t>dodatno boduje kvaliteta prethodn</w:t>
            </w:r>
            <w:r>
              <w:rPr>
                <w:rFonts w:ascii="Times New Roman" w:hAnsi="Times New Roman" w:cs="Times New Roman"/>
              </w:rPr>
              <w:t xml:space="preserve">og rada </w:t>
            </w:r>
            <w:r w:rsidRPr="00C77F91">
              <w:rPr>
                <w:rFonts w:ascii="Times New Roman" w:hAnsi="Times New Roman" w:cs="Times New Roman"/>
              </w:rPr>
              <w:t>udrug</w:t>
            </w:r>
            <w:r>
              <w:rPr>
                <w:rFonts w:ascii="Times New Roman" w:hAnsi="Times New Roman" w:cs="Times New Roman"/>
              </w:rPr>
              <w:t>e u okviru zatvorskog sustava i probacije,</w:t>
            </w:r>
            <w:r w:rsidRPr="00C77F91">
              <w:rPr>
                <w:rFonts w:ascii="Times New Roman" w:hAnsi="Times New Roman" w:cs="Times New Roman"/>
              </w:rPr>
              <w:t xml:space="preserve"> no bodovanje ne </w:t>
            </w:r>
            <w:r>
              <w:rPr>
                <w:rFonts w:ascii="Times New Roman" w:hAnsi="Times New Roman" w:cs="Times New Roman"/>
              </w:rPr>
              <w:t>smije</w:t>
            </w:r>
            <w:r w:rsidRPr="00C77F91">
              <w:rPr>
                <w:rFonts w:ascii="Times New Roman" w:hAnsi="Times New Roman" w:cs="Times New Roman"/>
              </w:rPr>
              <w:t xml:space="preserve"> b</w:t>
            </w:r>
            <w:r>
              <w:rPr>
                <w:rFonts w:ascii="Times New Roman" w:hAnsi="Times New Roman" w:cs="Times New Roman"/>
              </w:rPr>
              <w:t>i</w:t>
            </w:r>
            <w:r w:rsidRPr="00C77F91">
              <w:rPr>
                <w:rFonts w:ascii="Times New Roman" w:hAnsi="Times New Roman" w:cs="Times New Roman"/>
              </w:rPr>
              <w:t>ti nera</w:t>
            </w:r>
            <w:r>
              <w:rPr>
                <w:rFonts w:ascii="Times New Roman" w:hAnsi="Times New Roman" w:cs="Times New Roman"/>
              </w:rPr>
              <w:t>z</w:t>
            </w:r>
            <w:r w:rsidRPr="00C77F91">
              <w:rPr>
                <w:rFonts w:ascii="Times New Roman" w:hAnsi="Times New Roman" w:cs="Times New Roman"/>
              </w:rPr>
              <w:t xml:space="preserve">mjerno </w:t>
            </w:r>
            <w:r>
              <w:rPr>
                <w:rFonts w:ascii="Times New Roman" w:hAnsi="Times New Roman" w:cs="Times New Roman"/>
              </w:rPr>
              <w:t>jer se mora</w:t>
            </w:r>
            <w:r w:rsidRPr="00C77F91">
              <w:rPr>
                <w:rFonts w:ascii="Times New Roman" w:hAnsi="Times New Roman" w:cs="Times New Roman"/>
              </w:rPr>
              <w:t xml:space="preserve"> osigura</w:t>
            </w:r>
            <w:r>
              <w:rPr>
                <w:rFonts w:ascii="Times New Roman" w:hAnsi="Times New Roman" w:cs="Times New Roman"/>
              </w:rPr>
              <w:t>ti</w:t>
            </w:r>
            <w:r w:rsidRPr="00C77F91">
              <w:rPr>
                <w:rFonts w:ascii="Times New Roman" w:hAnsi="Times New Roman" w:cs="Times New Roman"/>
              </w:rPr>
              <w:t xml:space="preserve"> ravnopravnost svih potencijalnih prijavitelja.</w:t>
            </w:r>
          </w:p>
        </w:tc>
      </w:tr>
      <w:tr w:rsidR="00F01D02" w:rsidRPr="00C77F91" w:rsidTr="00F01D02">
        <w:trPr>
          <w:trHeight w:val="426"/>
        </w:trPr>
        <w:tc>
          <w:tcPr>
            <w:tcW w:w="6272"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F01D02" w:rsidRPr="00C77F91" w:rsidRDefault="00F01D02" w:rsidP="00F01D02">
            <w:pPr>
              <w:pStyle w:val="StandardWeb"/>
              <w:spacing w:before="0" w:beforeAutospacing="0" w:after="0" w:afterAutospacing="0"/>
              <w:jc w:val="both"/>
              <w:rPr>
                <w:color w:val="000000"/>
                <w:sz w:val="22"/>
                <w:szCs w:val="22"/>
              </w:rPr>
            </w:pPr>
            <w:r w:rsidRPr="00C77F91">
              <w:rPr>
                <w:color w:val="000000"/>
                <w:sz w:val="22"/>
                <w:szCs w:val="22"/>
              </w:rPr>
              <w:lastRenderedPageBreak/>
              <w:t xml:space="preserve">Nema konkretne primjedbe/prijedloga osim što je dostavljen promo video i slike o sportu </w:t>
            </w:r>
            <w:proofErr w:type="spellStart"/>
            <w:r w:rsidRPr="00C77F91">
              <w:rPr>
                <w:color w:val="000000"/>
                <w:sz w:val="22"/>
                <w:szCs w:val="22"/>
              </w:rPr>
              <w:t>crossminton</w:t>
            </w:r>
            <w:proofErr w:type="spellEnd"/>
            <w:r w:rsidRPr="00C77F91">
              <w:rPr>
                <w:color w:val="000000"/>
                <w:sz w:val="22"/>
                <w:szCs w:val="22"/>
              </w:rPr>
              <w:t xml:space="preserve"> (brzi badminton)</w:t>
            </w:r>
          </w:p>
        </w:tc>
        <w:tc>
          <w:tcPr>
            <w:tcW w:w="180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01D02" w:rsidRPr="00C77F91" w:rsidRDefault="00F01D02" w:rsidP="00F01D02">
            <w:pPr>
              <w:spacing w:line="240" w:lineRule="auto"/>
              <w:ind w:left="426"/>
              <w:jc w:val="both"/>
              <w:rPr>
                <w:rFonts w:ascii="Times New Roman" w:hAnsi="Times New Roman" w:cs="Times New Roman"/>
                <w:color w:val="000000"/>
              </w:rPr>
            </w:pPr>
          </w:p>
        </w:tc>
        <w:tc>
          <w:tcPr>
            <w:tcW w:w="595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01D02" w:rsidRPr="00C77F91" w:rsidRDefault="00F01D02" w:rsidP="00F01D02">
            <w:pPr>
              <w:spacing w:line="240" w:lineRule="auto"/>
              <w:jc w:val="both"/>
              <w:rPr>
                <w:rFonts w:ascii="Times New Roman" w:hAnsi="Times New Roman" w:cs="Times New Roman"/>
                <w:color w:val="000000"/>
              </w:rPr>
            </w:pPr>
            <w:r w:rsidRPr="00C77F91">
              <w:rPr>
                <w:rFonts w:ascii="Times New Roman" w:hAnsi="Times New Roman" w:cs="Times New Roman"/>
                <w:color w:val="000000"/>
              </w:rPr>
              <w:t>Ne prihvaća se. Nije dostavljan konkret</w:t>
            </w:r>
            <w:r>
              <w:rPr>
                <w:rFonts w:ascii="Times New Roman" w:hAnsi="Times New Roman" w:cs="Times New Roman"/>
                <w:color w:val="000000"/>
              </w:rPr>
              <w:t>an</w:t>
            </w:r>
            <w:r w:rsidRPr="00C77F91">
              <w:rPr>
                <w:rFonts w:ascii="Times New Roman" w:hAnsi="Times New Roman" w:cs="Times New Roman"/>
                <w:color w:val="000000"/>
              </w:rPr>
              <w:t xml:space="preserve"> komentar/prijedlog.</w:t>
            </w:r>
          </w:p>
        </w:tc>
      </w:tr>
    </w:tbl>
    <w:p w:rsidR="00D16B2E" w:rsidRPr="00C77F91" w:rsidRDefault="00D16B2E" w:rsidP="00F01D02">
      <w:pPr>
        <w:jc w:val="both"/>
      </w:pPr>
    </w:p>
    <w:p w:rsidR="00297421" w:rsidRPr="00C77F91" w:rsidRDefault="00297421" w:rsidP="00552E30"/>
    <w:p w:rsidR="00297421" w:rsidRPr="00C77F91" w:rsidRDefault="00297421" w:rsidP="00552E30"/>
    <w:sectPr w:rsidR="00297421" w:rsidRPr="00C77F91" w:rsidSect="00552E3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E6187"/>
    <w:multiLevelType w:val="multilevel"/>
    <w:tmpl w:val="7700CDD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nsid w:val="3C444EF1"/>
    <w:multiLevelType w:val="multilevel"/>
    <w:tmpl w:val="7E40020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nsid w:val="40C50DCB"/>
    <w:multiLevelType w:val="hybridMultilevel"/>
    <w:tmpl w:val="E34EAC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56E674A9"/>
    <w:multiLevelType w:val="multilevel"/>
    <w:tmpl w:val="92E49A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nsid w:val="73E44B4E"/>
    <w:multiLevelType w:val="multilevel"/>
    <w:tmpl w:val="4D42534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nsid w:val="7B81651A"/>
    <w:multiLevelType w:val="multilevel"/>
    <w:tmpl w:val="E994879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401"/>
    <w:rsid w:val="000336B6"/>
    <w:rsid w:val="000578B0"/>
    <w:rsid w:val="000701D1"/>
    <w:rsid w:val="00122BDF"/>
    <w:rsid w:val="00135E73"/>
    <w:rsid w:val="001438FE"/>
    <w:rsid w:val="00147C30"/>
    <w:rsid w:val="001722D6"/>
    <w:rsid w:val="00227951"/>
    <w:rsid w:val="00242D60"/>
    <w:rsid w:val="002715ED"/>
    <w:rsid w:val="00297421"/>
    <w:rsid w:val="002C5CDF"/>
    <w:rsid w:val="003369EB"/>
    <w:rsid w:val="00376DB2"/>
    <w:rsid w:val="003A436A"/>
    <w:rsid w:val="003D649E"/>
    <w:rsid w:val="003E7308"/>
    <w:rsid w:val="004329C3"/>
    <w:rsid w:val="004D2465"/>
    <w:rsid w:val="004F0401"/>
    <w:rsid w:val="005344D0"/>
    <w:rsid w:val="00552E30"/>
    <w:rsid w:val="00567C81"/>
    <w:rsid w:val="005B1BF0"/>
    <w:rsid w:val="005D1953"/>
    <w:rsid w:val="005D49E9"/>
    <w:rsid w:val="006603E7"/>
    <w:rsid w:val="00674EE3"/>
    <w:rsid w:val="0068187C"/>
    <w:rsid w:val="006C7C50"/>
    <w:rsid w:val="00720537"/>
    <w:rsid w:val="007D76F6"/>
    <w:rsid w:val="008215AA"/>
    <w:rsid w:val="00887837"/>
    <w:rsid w:val="00913E17"/>
    <w:rsid w:val="009C7EC3"/>
    <w:rsid w:val="00A2471F"/>
    <w:rsid w:val="00A24EFB"/>
    <w:rsid w:val="00A6505E"/>
    <w:rsid w:val="00AD2083"/>
    <w:rsid w:val="00B557AB"/>
    <w:rsid w:val="00B72C16"/>
    <w:rsid w:val="00BC014A"/>
    <w:rsid w:val="00C43B3E"/>
    <w:rsid w:val="00C45F8F"/>
    <w:rsid w:val="00C77F91"/>
    <w:rsid w:val="00C967A0"/>
    <w:rsid w:val="00CB6A36"/>
    <w:rsid w:val="00CE73AB"/>
    <w:rsid w:val="00D16B2E"/>
    <w:rsid w:val="00D411C3"/>
    <w:rsid w:val="00D41661"/>
    <w:rsid w:val="00D50294"/>
    <w:rsid w:val="00D51370"/>
    <w:rsid w:val="00D8418F"/>
    <w:rsid w:val="00E14736"/>
    <w:rsid w:val="00E47650"/>
    <w:rsid w:val="00E513CD"/>
    <w:rsid w:val="00E738BA"/>
    <w:rsid w:val="00EC7542"/>
    <w:rsid w:val="00F01D02"/>
    <w:rsid w:val="00F82145"/>
    <w:rsid w:val="00F858A6"/>
    <w:rsid w:val="00FD5A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674E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552E30"/>
    <w:pPr>
      <w:spacing w:before="100" w:beforeAutospacing="1" w:after="100" w:afterAutospacing="1" w:line="240" w:lineRule="auto"/>
    </w:pPr>
    <w:rPr>
      <w:rFonts w:ascii="Times New Roman" w:hAnsi="Times New Roman" w:cs="Times New Roman"/>
      <w:sz w:val="24"/>
      <w:szCs w:val="24"/>
      <w:lang w:eastAsia="hr-HR"/>
    </w:rPr>
  </w:style>
  <w:style w:type="character" w:styleId="Hiperveza">
    <w:name w:val="Hyperlink"/>
    <w:basedOn w:val="Zadanifontodlomka"/>
    <w:uiPriority w:val="99"/>
    <w:unhideWhenUsed/>
    <w:rsid w:val="008215AA"/>
    <w:rPr>
      <w:color w:val="0000FF"/>
      <w:u w:val="single"/>
    </w:rPr>
  </w:style>
  <w:style w:type="character" w:styleId="SlijeenaHiperveza">
    <w:name w:val="FollowedHyperlink"/>
    <w:basedOn w:val="Zadanifontodlomka"/>
    <w:uiPriority w:val="99"/>
    <w:semiHidden/>
    <w:unhideWhenUsed/>
    <w:rsid w:val="00674EE3"/>
    <w:rPr>
      <w:color w:val="800080" w:themeColor="followedHyperlink"/>
      <w:u w:val="single"/>
    </w:rPr>
  </w:style>
  <w:style w:type="character" w:customStyle="1" w:styleId="Naslov1Char">
    <w:name w:val="Naslov 1 Char"/>
    <w:basedOn w:val="Zadanifontodlomka"/>
    <w:link w:val="Naslov1"/>
    <w:uiPriority w:val="9"/>
    <w:rsid w:val="00674EE3"/>
    <w:rPr>
      <w:rFonts w:asciiTheme="majorHAnsi" w:eastAsiaTheme="majorEastAsia" w:hAnsiTheme="majorHAnsi" w:cstheme="majorBidi"/>
      <w:b/>
      <w:bCs/>
      <w:noProof/>
      <w:color w:val="365F91" w:themeColor="accent1" w:themeShade="BF"/>
      <w:sz w:val="28"/>
      <w:szCs w:val="28"/>
    </w:rPr>
  </w:style>
  <w:style w:type="paragraph" w:styleId="Odlomakpopisa">
    <w:name w:val="List Paragraph"/>
    <w:basedOn w:val="Normal"/>
    <w:uiPriority w:val="34"/>
    <w:qFormat/>
    <w:rsid w:val="003A436A"/>
    <w:pPr>
      <w:ind w:left="720"/>
      <w:contextualSpacing/>
    </w:pPr>
  </w:style>
  <w:style w:type="character" w:customStyle="1" w:styleId="UnresolvedMention">
    <w:name w:val="Unresolved Mention"/>
    <w:basedOn w:val="Zadanifontodlomka"/>
    <w:uiPriority w:val="99"/>
    <w:semiHidden/>
    <w:unhideWhenUsed/>
    <w:rsid w:val="00E1473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674E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552E30"/>
    <w:pPr>
      <w:spacing w:before="100" w:beforeAutospacing="1" w:after="100" w:afterAutospacing="1" w:line="240" w:lineRule="auto"/>
    </w:pPr>
    <w:rPr>
      <w:rFonts w:ascii="Times New Roman" w:hAnsi="Times New Roman" w:cs="Times New Roman"/>
      <w:sz w:val="24"/>
      <w:szCs w:val="24"/>
      <w:lang w:eastAsia="hr-HR"/>
    </w:rPr>
  </w:style>
  <w:style w:type="character" w:styleId="Hiperveza">
    <w:name w:val="Hyperlink"/>
    <w:basedOn w:val="Zadanifontodlomka"/>
    <w:uiPriority w:val="99"/>
    <w:unhideWhenUsed/>
    <w:rsid w:val="008215AA"/>
    <w:rPr>
      <w:color w:val="0000FF"/>
      <w:u w:val="single"/>
    </w:rPr>
  </w:style>
  <w:style w:type="character" w:styleId="SlijeenaHiperveza">
    <w:name w:val="FollowedHyperlink"/>
    <w:basedOn w:val="Zadanifontodlomka"/>
    <w:uiPriority w:val="99"/>
    <w:semiHidden/>
    <w:unhideWhenUsed/>
    <w:rsid w:val="00674EE3"/>
    <w:rPr>
      <w:color w:val="800080" w:themeColor="followedHyperlink"/>
      <w:u w:val="single"/>
    </w:rPr>
  </w:style>
  <w:style w:type="character" w:customStyle="1" w:styleId="Naslov1Char">
    <w:name w:val="Naslov 1 Char"/>
    <w:basedOn w:val="Zadanifontodlomka"/>
    <w:link w:val="Naslov1"/>
    <w:uiPriority w:val="9"/>
    <w:rsid w:val="00674EE3"/>
    <w:rPr>
      <w:rFonts w:asciiTheme="majorHAnsi" w:eastAsiaTheme="majorEastAsia" w:hAnsiTheme="majorHAnsi" w:cstheme="majorBidi"/>
      <w:b/>
      <w:bCs/>
      <w:noProof/>
      <w:color w:val="365F91" w:themeColor="accent1" w:themeShade="BF"/>
      <w:sz w:val="28"/>
      <w:szCs w:val="28"/>
    </w:rPr>
  </w:style>
  <w:style w:type="paragraph" w:styleId="Odlomakpopisa">
    <w:name w:val="List Paragraph"/>
    <w:basedOn w:val="Normal"/>
    <w:uiPriority w:val="34"/>
    <w:qFormat/>
    <w:rsid w:val="003A436A"/>
    <w:pPr>
      <w:ind w:left="720"/>
      <w:contextualSpacing/>
    </w:pPr>
  </w:style>
  <w:style w:type="character" w:customStyle="1" w:styleId="UnresolvedMention">
    <w:name w:val="Unresolved Mention"/>
    <w:basedOn w:val="Zadanifontodlomka"/>
    <w:uiPriority w:val="99"/>
    <w:semiHidden/>
    <w:unhideWhenUsed/>
    <w:rsid w:val="00E14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4772">
      <w:bodyDiv w:val="1"/>
      <w:marLeft w:val="0"/>
      <w:marRight w:val="0"/>
      <w:marTop w:val="0"/>
      <w:marBottom w:val="0"/>
      <w:divBdr>
        <w:top w:val="none" w:sz="0" w:space="0" w:color="auto"/>
        <w:left w:val="none" w:sz="0" w:space="0" w:color="auto"/>
        <w:bottom w:val="none" w:sz="0" w:space="0" w:color="auto"/>
        <w:right w:val="none" w:sz="0" w:space="0" w:color="auto"/>
      </w:divBdr>
    </w:div>
    <w:div w:id="284434054">
      <w:bodyDiv w:val="1"/>
      <w:marLeft w:val="0"/>
      <w:marRight w:val="0"/>
      <w:marTop w:val="0"/>
      <w:marBottom w:val="0"/>
      <w:divBdr>
        <w:top w:val="none" w:sz="0" w:space="0" w:color="auto"/>
        <w:left w:val="none" w:sz="0" w:space="0" w:color="auto"/>
        <w:bottom w:val="none" w:sz="0" w:space="0" w:color="auto"/>
        <w:right w:val="none" w:sz="0" w:space="0" w:color="auto"/>
      </w:divBdr>
    </w:div>
    <w:div w:id="819535625">
      <w:bodyDiv w:val="1"/>
      <w:marLeft w:val="0"/>
      <w:marRight w:val="0"/>
      <w:marTop w:val="0"/>
      <w:marBottom w:val="0"/>
      <w:divBdr>
        <w:top w:val="none" w:sz="0" w:space="0" w:color="auto"/>
        <w:left w:val="none" w:sz="0" w:space="0" w:color="auto"/>
        <w:bottom w:val="none" w:sz="0" w:space="0" w:color="auto"/>
        <w:right w:val="none" w:sz="0" w:space="0" w:color="auto"/>
      </w:divBdr>
    </w:div>
    <w:div w:id="1261183791">
      <w:bodyDiv w:val="1"/>
      <w:marLeft w:val="0"/>
      <w:marRight w:val="0"/>
      <w:marTop w:val="0"/>
      <w:marBottom w:val="0"/>
      <w:divBdr>
        <w:top w:val="none" w:sz="0" w:space="0" w:color="auto"/>
        <w:left w:val="none" w:sz="0" w:space="0" w:color="auto"/>
        <w:bottom w:val="none" w:sz="0" w:space="0" w:color="auto"/>
        <w:right w:val="none" w:sz="0" w:space="0" w:color="auto"/>
      </w:divBdr>
    </w:div>
    <w:div w:id="1292907116">
      <w:bodyDiv w:val="1"/>
      <w:marLeft w:val="0"/>
      <w:marRight w:val="0"/>
      <w:marTop w:val="0"/>
      <w:marBottom w:val="0"/>
      <w:divBdr>
        <w:top w:val="none" w:sz="0" w:space="0" w:color="auto"/>
        <w:left w:val="none" w:sz="0" w:space="0" w:color="auto"/>
        <w:bottom w:val="none" w:sz="0" w:space="0" w:color="auto"/>
        <w:right w:val="none" w:sz="0" w:space="0" w:color="auto"/>
      </w:divBdr>
    </w:div>
    <w:div w:id="1307010752">
      <w:bodyDiv w:val="1"/>
      <w:marLeft w:val="0"/>
      <w:marRight w:val="0"/>
      <w:marTop w:val="0"/>
      <w:marBottom w:val="0"/>
      <w:divBdr>
        <w:top w:val="none" w:sz="0" w:space="0" w:color="auto"/>
        <w:left w:val="none" w:sz="0" w:space="0" w:color="auto"/>
        <w:bottom w:val="none" w:sz="0" w:space="0" w:color="auto"/>
        <w:right w:val="none" w:sz="0" w:space="0" w:color="auto"/>
      </w:divBdr>
    </w:div>
    <w:div w:id="1451243406">
      <w:bodyDiv w:val="1"/>
      <w:marLeft w:val="0"/>
      <w:marRight w:val="0"/>
      <w:marTop w:val="0"/>
      <w:marBottom w:val="0"/>
      <w:divBdr>
        <w:top w:val="none" w:sz="0" w:space="0" w:color="auto"/>
        <w:left w:val="none" w:sz="0" w:space="0" w:color="auto"/>
        <w:bottom w:val="none" w:sz="0" w:space="0" w:color="auto"/>
        <w:right w:val="none" w:sz="0" w:space="0" w:color="auto"/>
      </w:divBdr>
    </w:div>
    <w:div w:id="185738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pu.gov.hr/izvjesce-o-stanju-i-radu-kaznionica-zatvora-i-odgojnih-zavoda-26215/2621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1845</Words>
  <Characters>10522</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12343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Josipa Maras Babić</dc:creator>
  <cp:lastModifiedBy>Josipa Maras Babić</cp:lastModifiedBy>
  <cp:revision>3</cp:revision>
  <dcterms:created xsi:type="dcterms:W3CDTF">2023-02-14T12:06:00Z</dcterms:created>
  <dcterms:modified xsi:type="dcterms:W3CDTF">2023-02-14T12:21:00Z</dcterms:modified>
</cp:coreProperties>
</file>